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EDFB9" w14:textId="77777777" w:rsidR="00586B2B" w:rsidRDefault="00000000">
      <w:pPr>
        <w:jc w:val="center"/>
        <w:rPr>
          <w:rFonts w:ascii="Comic Sans MS" w:eastAsia="Comic Sans MS" w:hAnsi="Comic Sans MS" w:cs="Comic Sans MS"/>
          <w:b/>
          <w:sz w:val="26"/>
          <w:szCs w:val="26"/>
        </w:rPr>
      </w:pPr>
      <w:r>
        <w:rPr>
          <w:rFonts w:ascii="Comic Sans MS" w:eastAsia="Comic Sans MS" w:hAnsi="Comic Sans MS" w:cs="Comic Sans MS"/>
          <w:b/>
          <w:sz w:val="26"/>
          <w:szCs w:val="26"/>
        </w:rPr>
        <w:t>Wine &amp; Cheese</w:t>
      </w:r>
    </w:p>
    <w:p w14:paraId="74698735" w14:textId="77777777" w:rsidR="00586B2B" w:rsidRDefault="00000000">
      <w:pPr>
        <w:jc w:val="center"/>
        <w:rPr>
          <w:rFonts w:ascii="Comic Sans MS" w:eastAsia="Comic Sans MS" w:hAnsi="Comic Sans MS" w:cs="Comic Sans MS"/>
          <w:b/>
          <w:sz w:val="26"/>
          <w:szCs w:val="26"/>
        </w:rPr>
      </w:pPr>
      <w:r>
        <w:rPr>
          <w:rFonts w:ascii="Comic Sans MS" w:eastAsia="Comic Sans MS" w:hAnsi="Comic Sans MS" w:cs="Comic Sans MS"/>
          <w:b/>
          <w:sz w:val="26"/>
          <w:szCs w:val="26"/>
        </w:rPr>
        <w:t>July 2023 Wine Club</w:t>
      </w:r>
    </w:p>
    <w:p w14:paraId="0F74F5A4" w14:textId="77777777" w:rsidR="00586B2B" w:rsidRDefault="00586B2B"/>
    <w:p w14:paraId="150051F3" w14:textId="029CA766" w:rsidR="00586B2B" w:rsidRDefault="00000000">
      <w:pPr>
        <w:spacing w:line="240" w:lineRule="auto"/>
        <w:rPr>
          <w:color w:val="222222"/>
          <w:sz w:val="23"/>
          <w:szCs w:val="23"/>
          <w:highlight w:val="white"/>
        </w:rPr>
      </w:pPr>
      <w:r>
        <w:rPr>
          <w:sz w:val="23"/>
          <w:szCs w:val="23"/>
        </w:rPr>
        <w:t>July is already here and in honor of Bastille Day it is our tradition to offer two French wines to celebrate:</w:t>
      </w:r>
      <w:r w:rsidR="00E352A9">
        <w:rPr>
          <w:sz w:val="23"/>
          <w:szCs w:val="23"/>
        </w:rPr>
        <w:t xml:space="preserve">  Chateau de Bonhoste</w:t>
      </w:r>
      <w:r>
        <w:rPr>
          <w:sz w:val="23"/>
          <w:szCs w:val="23"/>
        </w:rPr>
        <w:t xml:space="preserve"> Superieur Blanc and </w:t>
      </w:r>
      <w:r w:rsidR="00E352A9">
        <w:rPr>
          <w:sz w:val="23"/>
          <w:szCs w:val="23"/>
        </w:rPr>
        <w:t xml:space="preserve">Chateau de Bonhoste </w:t>
      </w:r>
      <w:r>
        <w:rPr>
          <w:sz w:val="23"/>
          <w:szCs w:val="23"/>
        </w:rPr>
        <w:t>Superieur Rouge from the Bordeaux region of France.  The winery, Château de Bonhoste, located in Saint Emilion, Bordeaux, was established in 1977 when Bernard and Colette Fournier purchased a</w:t>
      </w:r>
      <w:r w:rsidR="00E352A9">
        <w:rPr>
          <w:sz w:val="23"/>
          <w:szCs w:val="23"/>
        </w:rPr>
        <w:t>n</w:t>
      </w:r>
      <w:r>
        <w:rPr>
          <w:sz w:val="23"/>
          <w:szCs w:val="23"/>
        </w:rPr>
        <w:t xml:space="preserve"> 11th century Chateau and its acres of vineyards located in the town of St. Jean de Blaignac, just south of St. Emilion, where the family has lived since 1895. If you’re new to our club or just need a refresher, Bastille Day is the day in French history, much like our Independence Day, that celebrates the anniversary of the Storming of the Bastille on July 14, 1789, a turning point of the French Revolution.</w:t>
      </w:r>
    </w:p>
    <w:p w14:paraId="485481B0" w14:textId="77777777" w:rsidR="00586B2B" w:rsidRDefault="00586B2B">
      <w:pPr>
        <w:rPr>
          <w:color w:val="222222"/>
          <w:highlight w:val="white"/>
        </w:rPr>
      </w:pPr>
    </w:p>
    <w:p w14:paraId="6D000F6E" w14:textId="3EB59D9D" w:rsidR="00586B2B" w:rsidRDefault="00000000">
      <w:pPr>
        <w:shd w:val="clear" w:color="auto" w:fill="FFFFFF"/>
        <w:spacing w:after="300" w:line="240" w:lineRule="auto"/>
        <w:rPr>
          <w:sz w:val="23"/>
          <w:szCs w:val="23"/>
        </w:rPr>
      </w:pPr>
      <w:r>
        <w:rPr>
          <w:sz w:val="23"/>
          <w:szCs w:val="23"/>
        </w:rPr>
        <w:t xml:space="preserve">The </w:t>
      </w:r>
      <w:r w:rsidR="00E352A9">
        <w:rPr>
          <w:sz w:val="23"/>
          <w:szCs w:val="23"/>
        </w:rPr>
        <w:t xml:space="preserve">Chateau de Bonhoste </w:t>
      </w:r>
      <w:r>
        <w:rPr>
          <w:sz w:val="23"/>
          <w:szCs w:val="23"/>
        </w:rPr>
        <w:t>Superieur Rouge is a red blend made with Merlot, Cabernet Sauvignon, and Cabernet Franc grapes. It has a deep red color, red</w:t>
      </w:r>
      <w:r w:rsidR="00E352A9">
        <w:rPr>
          <w:sz w:val="23"/>
          <w:szCs w:val="23"/>
        </w:rPr>
        <w:t xml:space="preserve"> and </w:t>
      </w:r>
      <w:r>
        <w:rPr>
          <w:sz w:val="23"/>
          <w:szCs w:val="23"/>
        </w:rPr>
        <w:t>black cherry aroma that is intense yet pleasant and well structured,</w:t>
      </w:r>
      <w:r w:rsidR="00E352A9">
        <w:rPr>
          <w:sz w:val="23"/>
          <w:szCs w:val="23"/>
        </w:rPr>
        <w:t xml:space="preserve"> </w:t>
      </w:r>
      <w:r>
        <w:rPr>
          <w:sz w:val="23"/>
          <w:szCs w:val="23"/>
        </w:rPr>
        <w:t xml:space="preserve">dry with a persistent aftertaste. </w:t>
      </w:r>
      <w:r>
        <w:rPr>
          <w:sz w:val="23"/>
          <w:szCs w:val="23"/>
          <w:highlight w:val="white"/>
        </w:rPr>
        <w:t xml:space="preserve">One finds fresh red fruit flavor, fine tannins, and a little acidity, making this Bordeaux a perfect pairing for medium to heavier dishes year round.  </w:t>
      </w:r>
    </w:p>
    <w:p w14:paraId="365CEEA4" w14:textId="189BA985" w:rsidR="00586B2B" w:rsidRDefault="00000000">
      <w:pPr>
        <w:spacing w:line="240" w:lineRule="auto"/>
        <w:rPr>
          <w:sz w:val="23"/>
          <w:szCs w:val="23"/>
          <w:highlight w:val="white"/>
        </w:rPr>
      </w:pPr>
      <w:r>
        <w:rPr>
          <w:sz w:val="23"/>
          <w:szCs w:val="23"/>
        </w:rPr>
        <w:t xml:space="preserve">The </w:t>
      </w:r>
      <w:r w:rsidR="00E352A9">
        <w:rPr>
          <w:sz w:val="23"/>
          <w:szCs w:val="23"/>
        </w:rPr>
        <w:t xml:space="preserve">Chateau de Bonhoste </w:t>
      </w:r>
      <w:r>
        <w:rPr>
          <w:sz w:val="23"/>
          <w:szCs w:val="23"/>
        </w:rPr>
        <w:t xml:space="preserve">Superieur Blanc is a white blend made with Sauvignon Blanc, Semillion, and Muscadelle grapes.  </w:t>
      </w:r>
      <w:r>
        <w:rPr>
          <w:sz w:val="23"/>
          <w:szCs w:val="23"/>
          <w:highlight w:val="white"/>
        </w:rPr>
        <w:t xml:space="preserve">This wine is a pale yellow color with green reflections. It has aromas of white fruits (pear, peach, apricot), on the nose combined with floral notes. The palate is fresh and sparkling, with good acidity and a balance that persists on the finish with fresh and fruity notes.  </w:t>
      </w:r>
    </w:p>
    <w:p w14:paraId="263BD0D6" w14:textId="77777777" w:rsidR="00586B2B" w:rsidRDefault="00586B2B">
      <w:pPr>
        <w:spacing w:line="240" w:lineRule="auto"/>
        <w:rPr>
          <w:sz w:val="23"/>
          <w:szCs w:val="23"/>
          <w:highlight w:val="white"/>
        </w:rPr>
      </w:pPr>
    </w:p>
    <w:p w14:paraId="5FC7719D" w14:textId="28FFA12D" w:rsidR="00586B2B" w:rsidRDefault="00000000">
      <w:pPr>
        <w:spacing w:line="240" w:lineRule="auto"/>
        <w:rPr>
          <w:sz w:val="23"/>
          <w:szCs w:val="23"/>
          <w:highlight w:val="white"/>
        </w:rPr>
      </w:pPr>
      <w:r>
        <w:rPr>
          <w:sz w:val="23"/>
          <w:szCs w:val="23"/>
          <w:highlight w:val="white"/>
        </w:rPr>
        <w:t>Below is information on the wines</w:t>
      </w:r>
      <w:r w:rsidR="00E352A9">
        <w:rPr>
          <w:sz w:val="23"/>
          <w:szCs w:val="23"/>
          <w:highlight w:val="white"/>
        </w:rPr>
        <w:t xml:space="preserve"> with links included in your email to view the tech notes</w:t>
      </w:r>
      <w:r>
        <w:rPr>
          <w:sz w:val="23"/>
          <w:szCs w:val="23"/>
          <w:highlight w:val="white"/>
        </w:rPr>
        <w:t xml:space="preserve">.  </w:t>
      </w:r>
      <w:r w:rsidR="00E352A9">
        <w:rPr>
          <w:sz w:val="23"/>
          <w:szCs w:val="23"/>
          <w:highlight w:val="white"/>
        </w:rPr>
        <w:t>If you’re part of our red wine club, you’ll be receiving Alanera Rosso.</w:t>
      </w:r>
    </w:p>
    <w:p w14:paraId="015E8601" w14:textId="77777777" w:rsidR="00586B2B" w:rsidRDefault="00586B2B"/>
    <w:p w14:paraId="22479268" w14:textId="77777777" w:rsidR="00586B2B" w:rsidRDefault="00000000">
      <w:pPr>
        <w:rPr>
          <w:sz w:val="23"/>
          <w:szCs w:val="23"/>
        </w:rPr>
      </w:pPr>
      <w:r>
        <w:rPr>
          <w:sz w:val="23"/>
          <w:szCs w:val="23"/>
        </w:rPr>
        <w:t>Château de Bonhoste Supérieur Rouge, Bordeaux, France</w:t>
      </w:r>
    </w:p>
    <w:p w14:paraId="2EC8628B" w14:textId="77777777" w:rsidR="00586B2B" w:rsidRDefault="00000000">
      <w:pPr>
        <w:shd w:val="clear" w:color="auto" w:fill="FFFFFF"/>
        <w:spacing w:line="288" w:lineRule="auto"/>
        <w:rPr>
          <w:sz w:val="20"/>
          <w:szCs w:val="20"/>
          <w:highlight w:val="white"/>
        </w:rPr>
      </w:pPr>
      <w:r>
        <w:rPr>
          <w:b/>
          <w:sz w:val="20"/>
          <w:szCs w:val="20"/>
        </w:rPr>
        <w:t>Varietal Composition:</w:t>
      </w:r>
      <w:r>
        <w:rPr>
          <w:sz w:val="20"/>
          <w:szCs w:val="20"/>
        </w:rPr>
        <w:t xml:space="preserve"> </w:t>
      </w:r>
      <w:r>
        <w:rPr>
          <w:sz w:val="20"/>
          <w:szCs w:val="20"/>
        </w:rPr>
        <w:tab/>
      </w:r>
      <w:r>
        <w:rPr>
          <w:sz w:val="20"/>
          <w:szCs w:val="20"/>
        </w:rPr>
        <w:tab/>
        <w:t>70% Merlot, 20% Cabernet Sauvignon, 10% Cabernet Franc</w:t>
      </w:r>
    </w:p>
    <w:p w14:paraId="58794DC4" w14:textId="77777777" w:rsidR="00586B2B" w:rsidRDefault="00000000">
      <w:pPr>
        <w:shd w:val="clear" w:color="auto" w:fill="FFFFFF"/>
        <w:spacing w:line="288" w:lineRule="auto"/>
        <w:rPr>
          <w:sz w:val="20"/>
          <w:szCs w:val="20"/>
        </w:rPr>
      </w:pPr>
      <w:r>
        <w:rPr>
          <w:b/>
          <w:sz w:val="20"/>
          <w:szCs w:val="20"/>
        </w:rPr>
        <w:t>Vineyard Location:</w:t>
      </w:r>
      <w:r>
        <w:rPr>
          <w:b/>
          <w:sz w:val="20"/>
          <w:szCs w:val="20"/>
        </w:rPr>
        <w:tab/>
      </w:r>
      <w:r>
        <w:rPr>
          <w:sz w:val="20"/>
          <w:szCs w:val="20"/>
        </w:rPr>
        <w:tab/>
        <w:t>Bordeaux, France</w:t>
      </w:r>
    </w:p>
    <w:p w14:paraId="40A9438A" w14:textId="77777777" w:rsidR="00586B2B" w:rsidRDefault="00000000">
      <w:pPr>
        <w:shd w:val="clear" w:color="auto" w:fill="FFFFFF"/>
        <w:spacing w:line="331" w:lineRule="auto"/>
        <w:rPr>
          <w:sz w:val="20"/>
          <w:szCs w:val="20"/>
        </w:rPr>
      </w:pPr>
      <w:r>
        <w:rPr>
          <w:b/>
          <w:sz w:val="20"/>
          <w:szCs w:val="20"/>
        </w:rPr>
        <w:t>Aging:</w:t>
      </w:r>
      <w:r>
        <w:rPr>
          <w:sz w:val="20"/>
          <w:szCs w:val="20"/>
        </w:rPr>
        <w:t xml:space="preserve"> </w:t>
      </w:r>
      <w:r>
        <w:rPr>
          <w:sz w:val="20"/>
          <w:szCs w:val="20"/>
        </w:rPr>
        <w:tab/>
      </w:r>
      <w:r>
        <w:rPr>
          <w:sz w:val="20"/>
          <w:szCs w:val="20"/>
        </w:rPr>
        <w:tab/>
      </w:r>
      <w:r>
        <w:rPr>
          <w:sz w:val="20"/>
          <w:szCs w:val="20"/>
        </w:rPr>
        <w:tab/>
      </w:r>
      <w:r>
        <w:rPr>
          <w:sz w:val="20"/>
          <w:szCs w:val="20"/>
        </w:rPr>
        <w:tab/>
        <w:t>Oak and Stainless Steel</w:t>
      </w:r>
    </w:p>
    <w:p w14:paraId="3890D382" w14:textId="77777777" w:rsidR="00586B2B" w:rsidRDefault="00000000">
      <w:pPr>
        <w:shd w:val="clear" w:color="auto" w:fill="FFFFFF"/>
        <w:spacing w:line="288" w:lineRule="auto"/>
        <w:rPr>
          <w:sz w:val="20"/>
          <w:szCs w:val="20"/>
        </w:rPr>
      </w:pPr>
      <w:r>
        <w:rPr>
          <w:b/>
          <w:sz w:val="20"/>
          <w:szCs w:val="20"/>
        </w:rPr>
        <w:t xml:space="preserve">Alcohol: </w:t>
      </w:r>
      <w:r>
        <w:rPr>
          <w:sz w:val="20"/>
          <w:szCs w:val="20"/>
        </w:rPr>
        <w:t xml:space="preserve"> </w:t>
      </w:r>
      <w:r>
        <w:rPr>
          <w:sz w:val="20"/>
          <w:szCs w:val="20"/>
        </w:rPr>
        <w:tab/>
      </w:r>
      <w:r>
        <w:rPr>
          <w:sz w:val="20"/>
          <w:szCs w:val="20"/>
        </w:rPr>
        <w:tab/>
      </w:r>
      <w:r>
        <w:rPr>
          <w:sz w:val="20"/>
          <w:szCs w:val="20"/>
        </w:rPr>
        <w:tab/>
        <w:t>12.5%</w:t>
      </w:r>
      <w:r>
        <w:rPr>
          <w:sz w:val="20"/>
          <w:szCs w:val="20"/>
        </w:rPr>
        <w:tab/>
      </w:r>
      <w:r>
        <w:rPr>
          <w:sz w:val="20"/>
          <w:szCs w:val="20"/>
        </w:rPr>
        <w:tab/>
      </w:r>
    </w:p>
    <w:p w14:paraId="270EFBEB" w14:textId="77777777" w:rsidR="00586B2B" w:rsidRDefault="00000000">
      <w:pPr>
        <w:shd w:val="clear" w:color="auto" w:fill="FFFFFF"/>
        <w:spacing w:line="288" w:lineRule="auto"/>
        <w:rPr>
          <w:color w:val="404040"/>
          <w:sz w:val="20"/>
          <w:szCs w:val="20"/>
        </w:rPr>
      </w:pPr>
      <w:r>
        <w:rPr>
          <w:b/>
          <w:sz w:val="20"/>
          <w:szCs w:val="20"/>
        </w:rPr>
        <w:t>Tasting Notes:</w:t>
      </w:r>
      <w:r>
        <w:rPr>
          <w:b/>
          <w:sz w:val="20"/>
          <w:szCs w:val="20"/>
        </w:rPr>
        <w:tab/>
      </w:r>
      <w:r>
        <w:rPr>
          <w:b/>
          <w:sz w:val="20"/>
          <w:szCs w:val="20"/>
        </w:rPr>
        <w:tab/>
      </w:r>
      <w:r>
        <w:rPr>
          <w:b/>
          <w:sz w:val="20"/>
          <w:szCs w:val="20"/>
        </w:rPr>
        <w:tab/>
      </w:r>
      <w:r>
        <w:rPr>
          <w:sz w:val="20"/>
          <w:szCs w:val="20"/>
        </w:rPr>
        <w:t>Red fruit on the nose with hints of vanilla, soft tannins, woody finish</w:t>
      </w:r>
    </w:p>
    <w:p w14:paraId="04E32A1C" w14:textId="774FF5EF" w:rsidR="00586B2B" w:rsidRDefault="00000000">
      <w:pPr>
        <w:shd w:val="clear" w:color="auto" w:fill="FFFFFF"/>
        <w:spacing w:line="288" w:lineRule="auto"/>
        <w:rPr>
          <w:sz w:val="20"/>
          <w:szCs w:val="20"/>
        </w:rPr>
      </w:pPr>
      <w:r>
        <w:rPr>
          <w:b/>
          <w:sz w:val="20"/>
          <w:szCs w:val="20"/>
        </w:rPr>
        <w:t>Food Pairing:</w:t>
      </w:r>
      <w:r>
        <w:rPr>
          <w:sz w:val="20"/>
          <w:szCs w:val="20"/>
        </w:rPr>
        <w:t xml:space="preserve"> </w:t>
      </w:r>
      <w:r>
        <w:rPr>
          <w:sz w:val="20"/>
          <w:szCs w:val="20"/>
        </w:rPr>
        <w:tab/>
      </w:r>
      <w:r>
        <w:rPr>
          <w:sz w:val="20"/>
          <w:szCs w:val="20"/>
        </w:rPr>
        <w:tab/>
      </w:r>
      <w:r>
        <w:rPr>
          <w:sz w:val="20"/>
          <w:szCs w:val="20"/>
        </w:rPr>
        <w:tab/>
        <w:t xml:space="preserve">Pair with our </w:t>
      </w:r>
      <w:r w:rsidR="00E352A9">
        <w:rPr>
          <w:sz w:val="20"/>
          <w:szCs w:val="20"/>
        </w:rPr>
        <w:t>R</w:t>
      </w:r>
      <w:r>
        <w:rPr>
          <w:sz w:val="20"/>
          <w:szCs w:val="20"/>
        </w:rPr>
        <w:t xml:space="preserve">ed </w:t>
      </w:r>
      <w:r w:rsidR="00E352A9">
        <w:rPr>
          <w:sz w:val="20"/>
          <w:szCs w:val="20"/>
        </w:rPr>
        <w:t>W</w:t>
      </w:r>
      <w:r>
        <w:rPr>
          <w:sz w:val="20"/>
          <w:szCs w:val="20"/>
        </w:rPr>
        <w:t xml:space="preserve">ine </w:t>
      </w:r>
      <w:r w:rsidR="00E352A9">
        <w:rPr>
          <w:sz w:val="20"/>
          <w:szCs w:val="20"/>
        </w:rPr>
        <w:t>M</w:t>
      </w:r>
      <w:r>
        <w:rPr>
          <w:sz w:val="20"/>
          <w:szCs w:val="20"/>
        </w:rPr>
        <w:t>eatballs</w:t>
      </w:r>
    </w:p>
    <w:p w14:paraId="19D32F71" w14:textId="77777777" w:rsidR="00586B2B" w:rsidRDefault="00000000">
      <w:pPr>
        <w:shd w:val="clear" w:color="auto" w:fill="FFFFFF"/>
        <w:spacing w:line="288" w:lineRule="auto"/>
        <w:rPr>
          <w:sz w:val="20"/>
          <w:szCs w:val="20"/>
        </w:rPr>
      </w:pPr>
      <w:r>
        <w:rPr>
          <w:b/>
          <w:sz w:val="20"/>
          <w:szCs w:val="20"/>
        </w:rPr>
        <w:t>Cheese Pairing:</w:t>
      </w:r>
      <w:r>
        <w:rPr>
          <w:sz w:val="20"/>
          <w:szCs w:val="20"/>
        </w:rPr>
        <w:t xml:space="preserve"> </w:t>
      </w:r>
      <w:r>
        <w:rPr>
          <w:sz w:val="20"/>
          <w:szCs w:val="20"/>
        </w:rPr>
        <w:tab/>
      </w:r>
      <w:r>
        <w:rPr>
          <w:sz w:val="20"/>
          <w:szCs w:val="20"/>
        </w:rPr>
        <w:tab/>
        <w:t xml:space="preserve">Pair with our Smoked Gouda </w:t>
      </w:r>
    </w:p>
    <w:p w14:paraId="55CFCF87" w14:textId="77777777" w:rsidR="00586B2B" w:rsidRDefault="00586B2B">
      <w:pPr>
        <w:ind w:right="-720"/>
        <w:rPr>
          <w:sz w:val="20"/>
          <w:szCs w:val="20"/>
        </w:rPr>
      </w:pPr>
    </w:p>
    <w:p w14:paraId="205940D7" w14:textId="77777777" w:rsidR="00586B2B" w:rsidRDefault="00000000">
      <w:pPr>
        <w:rPr>
          <w:b/>
          <w:sz w:val="23"/>
          <w:szCs w:val="23"/>
        </w:rPr>
      </w:pPr>
      <w:r>
        <w:rPr>
          <w:sz w:val="23"/>
          <w:szCs w:val="23"/>
        </w:rPr>
        <w:t>Château de Bonhoste Supérieur Blanc, Bordeaux, France</w:t>
      </w:r>
    </w:p>
    <w:p w14:paraId="1B1946EF" w14:textId="77777777" w:rsidR="00586B2B" w:rsidRDefault="00000000">
      <w:pPr>
        <w:shd w:val="clear" w:color="auto" w:fill="FFFFFF"/>
        <w:spacing w:line="288" w:lineRule="auto"/>
        <w:rPr>
          <w:sz w:val="20"/>
          <w:szCs w:val="20"/>
          <w:highlight w:val="white"/>
        </w:rPr>
      </w:pPr>
      <w:r>
        <w:rPr>
          <w:b/>
          <w:sz w:val="20"/>
          <w:szCs w:val="20"/>
        </w:rPr>
        <w:t>Varietal Composition:</w:t>
      </w:r>
      <w:r>
        <w:rPr>
          <w:sz w:val="20"/>
          <w:szCs w:val="20"/>
        </w:rPr>
        <w:t xml:space="preserve"> </w:t>
      </w:r>
      <w:r>
        <w:rPr>
          <w:sz w:val="20"/>
          <w:szCs w:val="20"/>
        </w:rPr>
        <w:tab/>
      </w:r>
      <w:r>
        <w:rPr>
          <w:sz w:val="20"/>
          <w:szCs w:val="20"/>
        </w:rPr>
        <w:tab/>
      </w:r>
      <w:r>
        <w:rPr>
          <w:sz w:val="20"/>
          <w:szCs w:val="20"/>
          <w:highlight w:val="white"/>
        </w:rPr>
        <w:t>90 % Sauvignon Gris, 10% Sauvignon Blanc</w:t>
      </w:r>
    </w:p>
    <w:p w14:paraId="33C2F599" w14:textId="77777777" w:rsidR="00586B2B" w:rsidRDefault="00000000">
      <w:pPr>
        <w:shd w:val="clear" w:color="auto" w:fill="FFFFFF"/>
        <w:spacing w:line="288" w:lineRule="auto"/>
        <w:rPr>
          <w:sz w:val="20"/>
          <w:szCs w:val="20"/>
        </w:rPr>
      </w:pPr>
      <w:r>
        <w:rPr>
          <w:b/>
          <w:sz w:val="20"/>
          <w:szCs w:val="20"/>
        </w:rPr>
        <w:t>Vineyard Location:</w:t>
      </w:r>
      <w:r>
        <w:rPr>
          <w:b/>
          <w:sz w:val="20"/>
          <w:szCs w:val="20"/>
        </w:rPr>
        <w:tab/>
      </w:r>
      <w:r>
        <w:rPr>
          <w:sz w:val="20"/>
          <w:szCs w:val="20"/>
        </w:rPr>
        <w:tab/>
        <w:t>Bordeaux, France</w:t>
      </w:r>
    </w:p>
    <w:p w14:paraId="5954BFF4" w14:textId="77777777" w:rsidR="00586B2B" w:rsidRDefault="00000000">
      <w:pPr>
        <w:shd w:val="clear" w:color="auto" w:fill="FFFFFF"/>
        <w:spacing w:line="331" w:lineRule="auto"/>
        <w:rPr>
          <w:sz w:val="20"/>
          <w:szCs w:val="20"/>
        </w:rPr>
      </w:pPr>
      <w:r>
        <w:rPr>
          <w:b/>
          <w:sz w:val="20"/>
          <w:szCs w:val="20"/>
        </w:rPr>
        <w:t>Aging:</w:t>
      </w:r>
      <w:r>
        <w:rPr>
          <w:sz w:val="20"/>
          <w:szCs w:val="20"/>
        </w:rPr>
        <w:t xml:space="preserve"> </w:t>
      </w:r>
      <w:r>
        <w:rPr>
          <w:sz w:val="20"/>
          <w:szCs w:val="20"/>
        </w:rPr>
        <w:tab/>
      </w:r>
      <w:r>
        <w:rPr>
          <w:sz w:val="20"/>
          <w:szCs w:val="20"/>
        </w:rPr>
        <w:tab/>
      </w:r>
      <w:r>
        <w:rPr>
          <w:sz w:val="20"/>
          <w:szCs w:val="20"/>
        </w:rPr>
        <w:tab/>
      </w:r>
      <w:r>
        <w:rPr>
          <w:sz w:val="20"/>
          <w:szCs w:val="20"/>
        </w:rPr>
        <w:tab/>
        <w:t>Stainless Steel</w:t>
      </w:r>
    </w:p>
    <w:p w14:paraId="2354D786" w14:textId="77777777" w:rsidR="00586B2B" w:rsidRDefault="00000000">
      <w:pPr>
        <w:shd w:val="clear" w:color="auto" w:fill="FFFFFF"/>
        <w:spacing w:line="331" w:lineRule="auto"/>
        <w:rPr>
          <w:sz w:val="20"/>
          <w:szCs w:val="20"/>
        </w:rPr>
      </w:pPr>
      <w:r>
        <w:rPr>
          <w:b/>
          <w:sz w:val="20"/>
          <w:szCs w:val="20"/>
        </w:rPr>
        <w:t xml:space="preserve">Alcohol: </w:t>
      </w:r>
      <w:r>
        <w:rPr>
          <w:sz w:val="20"/>
          <w:szCs w:val="20"/>
        </w:rPr>
        <w:t xml:space="preserve"> </w:t>
      </w:r>
      <w:r>
        <w:rPr>
          <w:sz w:val="20"/>
          <w:szCs w:val="20"/>
        </w:rPr>
        <w:tab/>
      </w:r>
      <w:r>
        <w:rPr>
          <w:sz w:val="20"/>
          <w:szCs w:val="20"/>
        </w:rPr>
        <w:tab/>
      </w:r>
      <w:r>
        <w:rPr>
          <w:sz w:val="20"/>
          <w:szCs w:val="20"/>
        </w:rPr>
        <w:tab/>
        <w:t>12%</w:t>
      </w:r>
      <w:r>
        <w:rPr>
          <w:sz w:val="20"/>
          <w:szCs w:val="20"/>
        </w:rPr>
        <w:tab/>
      </w:r>
      <w:r>
        <w:rPr>
          <w:sz w:val="20"/>
          <w:szCs w:val="20"/>
        </w:rPr>
        <w:tab/>
      </w:r>
    </w:p>
    <w:p w14:paraId="08DCE808" w14:textId="77777777" w:rsidR="00586B2B" w:rsidRDefault="00000000">
      <w:pPr>
        <w:shd w:val="clear" w:color="auto" w:fill="FFFFFF"/>
        <w:spacing w:line="288" w:lineRule="auto"/>
        <w:rPr>
          <w:sz w:val="20"/>
          <w:szCs w:val="20"/>
          <w:highlight w:val="white"/>
        </w:rPr>
      </w:pPr>
      <w:r>
        <w:rPr>
          <w:b/>
          <w:sz w:val="20"/>
          <w:szCs w:val="20"/>
        </w:rPr>
        <w:t>Tasting Notes:</w:t>
      </w:r>
      <w:r>
        <w:rPr>
          <w:b/>
          <w:sz w:val="20"/>
          <w:szCs w:val="20"/>
        </w:rPr>
        <w:tab/>
      </w:r>
      <w:r>
        <w:rPr>
          <w:b/>
          <w:sz w:val="20"/>
          <w:szCs w:val="20"/>
        </w:rPr>
        <w:tab/>
      </w:r>
      <w:r>
        <w:rPr>
          <w:b/>
          <w:sz w:val="20"/>
          <w:szCs w:val="20"/>
        </w:rPr>
        <w:tab/>
      </w:r>
      <w:r>
        <w:rPr>
          <w:color w:val="404040"/>
          <w:sz w:val="20"/>
          <w:szCs w:val="20"/>
        </w:rPr>
        <w:t>Minerals and citrus fruits on the nose, fresh and balanced on the finish</w:t>
      </w:r>
    </w:p>
    <w:p w14:paraId="1DBE1ECD" w14:textId="754B3941" w:rsidR="00586B2B" w:rsidRDefault="00000000">
      <w:pPr>
        <w:shd w:val="clear" w:color="auto" w:fill="FFFFFF"/>
        <w:spacing w:line="288" w:lineRule="auto"/>
        <w:rPr>
          <w:sz w:val="20"/>
          <w:szCs w:val="20"/>
        </w:rPr>
      </w:pPr>
      <w:r>
        <w:rPr>
          <w:b/>
          <w:sz w:val="20"/>
          <w:szCs w:val="20"/>
        </w:rPr>
        <w:t>Food Pairing:</w:t>
      </w:r>
      <w:r>
        <w:rPr>
          <w:sz w:val="20"/>
          <w:szCs w:val="20"/>
        </w:rPr>
        <w:t xml:space="preserve"> </w:t>
      </w:r>
      <w:r>
        <w:rPr>
          <w:sz w:val="20"/>
          <w:szCs w:val="20"/>
        </w:rPr>
        <w:tab/>
      </w:r>
      <w:r>
        <w:rPr>
          <w:sz w:val="20"/>
          <w:szCs w:val="20"/>
        </w:rPr>
        <w:tab/>
      </w:r>
      <w:r>
        <w:rPr>
          <w:sz w:val="20"/>
          <w:szCs w:val="20"/>
        </w:rPr>
        <w:tab/>
        <w:t xml:space="preserve">Pair with our Ahi </w:t>
      </w:r>
      <w:r w:rsidR="00E352A9">
        <w:rPr>
          <w:sz w:val="20"/>
          <w:szCs w:val="20"/>
        </w:rPr>
        <w:t>T</w:t>
      </w:r>
      <w:r>
        <w:rPr>
          <w:sz w:val="20"/>
          <w:szCs w:val="20"/>
        </w:rPr>
        <w:t>una</w:t>
      </w:r>
    </w:p>
    <w:p w14:paraId="21B0522D" w14:textId="3B3C191A" w:rsidR="00586B2B" w:rsidRDefault="00000000">
      <w:pPr>
        <w:shd w:val="clear" w:color="auto" w:fill="FFFFFF"/>
        <w:spacing w:line="288" w:lineRule="auto"/>
        <w:rPr>
          <w:sz w:val="20"/>
          <w:szCs w:val="20"/>
        </w:rPr>
      </w:pPr>
      <w:r>
        <w:rPr>
          <w:b/>
          <w:sz w:val="20"/>
          <w:szCs w:val="20"/>
        </w:rPr>
        <w:t>Cheese Pairing:</w:t>
      </w:r>
      <w:r>
        <w:rPr>
          <w:sz w:val="20"/>
          <w:szCs w:val="20"/>
        </w:rPr>
        <w:t xml:space="preserve"> </w:t>
      </w:r>
      <w:r>
        <w:rPr>
          <w:sz w:val="20"/>
          <w:szCs w:val="20"/>
        </w:rPr>
        <w:tab/>
      </w:r>
      <w:r>
        <w:rPr>
          <w:sz w:val="20"/>
          <w:szCs w:val="20"/>
        </w:rPr>
        <w:tab/>
        <w:t>Pair with our Havarti</w:t>
      </w:r>
    </w:p>
    <w:p w14:paraId="044D4891" w14:textId="77777777" w:rsidR="00586B2B" w:rsidRDefault="00586B2B"/>
    <w:p w14:paraId="23E58957" w14:textId="77777777" w:rsidR="00586B2B" w:rsidRDefault="00000000">
      <w:pPr>
        <w:jc w:val="center"/>
        <w:rPr>
          <w:rFonts w:ascii="Comic Sans MS" w:eastAsia="Comic Sans MS" w:hAnsi="Comic Sans MS" w:cs="Comic Sans MS"/>
          <w:b/>
        </w:rPr>
      </w:pPr>
      <w:r>
        <w:t xml:space="preserve"> </w:t>
      </w:r>
      <w:r>
        <w:rPr>
          <w:rFonts w:ascii="Comic Sans MS" w:eastAsia="Comic Sans MS" w:hAnsi="Comic Sans MS" w:cs="Comic Sans MS"/>
          <w:b/>
        </w:rPr>
        <w:t>The Gang at Wine &amp; Cheese</w:t>
      </w:r>
    </w:p>
    <w:p w14:paraId="37D29DF5" w14:textId="77777777" w:rsidR="00586B2B" w:rsidRDefault="00000000">
      <w:pPr>
        <w:spacing w:after="160" w:line="259" w:lineRule="auto"/>
        <w:jc w:val="center"/>
      </w:pPr>
      <w:r>
        <w:rPr>
          <w:rFonts w:ascii="Comic Sans MS" w:eastAsia="Comic Sans MS" w:hAnsi="Comic Sans MS" w:cs="Comic Sans MS"/>
          <w:noProof/>
        </w:rPr>
        <w:drawing>
          <wp:inline distT="0" distB="0" distL="114300" distR="114300" wp14:anchorId="49230FB0" wp14:editId="611DB970">
            <wp:extent cx="2211388" cy="28988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211388" cy="289882"/>
                    </a:xfrm>
                    <a:prstGeom prst="rect">
                      <a:avLst/>
                    </a:prstGeom>
                    <a:ln/>
                  </pic:spPr>
                </pic:pic>
              </a:graphicData>
            </a:graphic>
          </wp:inline>
        </w:drawing>
      </w:r>
    </w:p>
    <w:p w14:paraId="26028132" w14:textId="77777777" w:rsidR="00586B2B" w:rsidRDefault="00000000">
      <w:pPr>
        <w:tabs>
          <w:tab w:val="center" w:pos="4320"/>
          <w:tab w:val="right" w:pos="8640"/>
        </w:tabs>
        <w:spacing w:line="240" w:lineRule="auto"/>
        <w:jc w:val="center"/>
      </w:pPr>
      <w:r>
        <w:rPr>
          <w:rFonts w:ascii="BatangChe" w:eastAsia="BatangChe" w:hAnsi="BatangChe" w:cs="BatangChe"/>
          <w:sz w:val="18"/>
          <w:szCs w:val="18"/>
        </w:rPr>
        <w:t xml:space="preserve">24104 W. Lockport Street Plainfield, IL 60544  (815) 436-3499   </w:t>
      </w:r>
      <w:hyperlink r:id="rId5">
        <w:r>
          <w:rPr>
            <w:rFonts w:ascii="BatangChe" w:eastAsia="BatangChe" w:hAnsi="BatangChe" w:cs="BatangChe"/>
            <w:color w:val="0000FF"/>
            <w:sz w:val="18"/>
            <w:szCs w:val="18"/>
            <w:u w:val="single"/>
          </w:rPr>
          <w:t>www.wineandcheeseco.com</w:t>
        </w:r>
      </w:hyperlink>
    </w:p>
    <w:sectPr w:rsidR="00586B2B">
      <w:pgSz w:w="12240" w:h="15840"/>
      <w:pgMar w:top="900" w:right="1440" w:bottom="445" w:left="16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B2B"/>
    <w:rsid w:val="00586B2B"/>
    <w:rsid w:val="00E35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507A5"/>
  <w15:docId w15:val="{9F3E0C69-2ECE-4743-B1D7-BC63011F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neandcheesec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Trost</cp:lastModifiedBy>
  <cp:revision>2</cp:revision>
  <dcterms:created xsi:type="dcterms:W3CDTF">2023-06-27T13:07:00Z</dcterms:created>
  <dcterms:modified xsi:type="dcterms:W3CDTF">2023-06-27T13:16:00Z</dcterms:modified>
</cp:coreProperties>
</file>