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DF94" w14:textId="77777777" w:rsidR="003D1EC5" w:rsidRDefault="00000000">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Wine &amp; Cheese</w:t>
      </w:r>
    </w:p>
    <w:p w14:paraId="0AC41F10" w14:textId="77777777" w:rsidR="003D1EC5" w:rsidRDefault="00000000">
      <w:pPr>
        <w:jc w:val="center"/>
        <w:rPr>
          <w:rFonts w:ascii="Comic Sans MS" w:eastAsia="Comic Sans MS" w:hAnsi="Comic Sans MS" w:cs="Comic Sans MS"/>
          <w:b/>
          <w:sz w:val="26"/>
          <w:szCs w:val="26"/>
        </w:rPr>
      </w:pPr>
      <w:r>
        <w:rPr>
          <w:rFonts w:ascii="Comic Sans MS" w:eastAsia="Comic Sans MS" w:hAnsi="Comic Sans MS" w:cs="Comic Sans MS"/>
          <w:b/>
          <w:sz w:val="26"/>
          <w:szCs w:val="26"/>
        </w:rPr>
        <w:t>March 2023 Wine Club</w:t>
      </w:r>
    </w:p>
    <w:p w14:paraId="20E86AAD" w14:textId="77777777" w:rsidR="003D1EC5" w:rsidRDefault="003D1EC5"/>
    <w:p w14:paraId="0F513BBA" w14:textId="77777777" w:rsidR="003D1EC5" w:rsidRDefault="00000000">
      <w:r>
        <w:t xml:space="preserve">It’s March and spring is soon approaching.  This month’s wines are from the </w:t>
      </w:r>
      <w:bookmarkStart w:id="0" w:name="_Hlk128388679"/>
      <w:proofErr w:type="spellStart"/>
      <w:r>
        <w:t>Aleksić</w:t>
      </w:r>
      <w:proofErr w:type="spellEnd"/>
      <w:r>
        <w:t xml:space="preserve"> </w:t>
      </w:r>
      <w:bookmarkEnd w:id="0"/>
      <w:r>
        <w:t xml:space="preserve">Winery which was founded in </w:t>
      </w:r>
      <w:proofErr w:type="spellStart"/>
      <w:r>
        <w:t>Vranje</w:t>
      </w:r>
      <w:proofErr w:type="spellEnd"/>
      <w:r>
        <w:t xml:space="preserve"> in 2006 in southern Serbia.  It was founded by three sisters, whose love for wine started at an early age, through family traditions.  For them, wine has always been more than a job, it is a vocation and a legacy that is passed down from generation to generation.  The </w:t>
      </w:r>
      <w:proofErr w:type="spellStart"/>
      <w:r>
        <w:t>Aleksić</w:t>
      </w:r>
      <w:proofErr w:type="spellEnd"/>
      <w:r>
        <w:t xml:space="preserve"> sisters, alongside with creating unique wines, have created a recognizable brand famous for its quality and produce 500,000 liters per year.  Their love for wine has grown into a serious, award-winning business venture.  From the very beginning, the company’s headquarters have </w:t>
      </w:r>
      <w:proofErr w:type="gramStart"/>
      <w:r>
        <w:t>been located in</w:t>
      </w:r>
      <w:proofErr w:type="gramEnd"/>
      <w:r>
        <w:t xml:space="preserve"> </w:t>
      </w:r>
      <w:proofErr w:type="spellStart"/>
      <w:r>
        <w:t>Vranje</w:t>
      </w:r>
      <w:proofErr w:type="spellEnd"/>
      <w:r>
        <w:t>, where they have a modern building built on 3 levels, as well as 70 hectors (about 173 acres) of vineyards.</w:t>
      </w:r>
    </w:p>
    <w:p w14:paraId="3A6D0FFC" w14:textId="77777777" w:rsidR="003D1EC5" w:rsidRDefault="003D1EC5">
      <w:pPr>
        <w:rPr>
          <w:sz w:val="23"/>
          <w:szCs w:val="23"/>
        </w:rPr>
      </w:pPr>
    </w:p>
    <w:p w14:paraId="050AFFFB" w14:textId="77777777" w:rsidR="003D1EC5" w:rsidRDefault="00000000">
      <w:r>
        <w:t xml:space="preserve">Their white wine that is part of your club this month is </w:t>
      </w:r>
      <w:proofErr w:type="spellStart"/>
      <w:proofErr w:type="gramStart"/>
      <w:r>
        <w:t>Zuti</w:t>
      </w:r>
      <w:proofErr w:type="spellEnd"/>
      <w:r>
        <w:t xml:space="preserve">  </w:t>
      </w:r>
      <w:proofErr w:type="spellStart"/>
      <w:r>
        <w:t>Cvet</w:t>
      </w:r>
      <w:proofErr w:type="spellEnd"/>
      <w:proofErr w:type="gramEnd"/>
      <w:r>
        <w:t xml:space="preserve"> “Yellow Flower”, </w:t>
      </w:r>
      <w:proofErr w:type="spellStart"/>
      <w:r>
        <w:t>Tamjanika</w:t>
      </w:r>
      <w:proofErr w:type="spellEnd"/>
      <w:r>
        <w:t xml:space="preserve">.  </w:t>
      </w:r>
      <w:proofErr w:type="spellStart"/>
      <w:r>
        <w:t>Tamjanika</w:t>
      </w:r>
      <w:proofErr w:type="spellEnd"/>
      <w:r>
        <w:t xml:space="preserve"> is a grape varietal of Muscat Blanc à Petits Grains, grown mostly in Serbia, North Macedonia, and Bulgaria.  It is named after </w:t>
      </w:r>
      <w:proofErr w:type="spellStart"/>
      <w:r>
        <w:t>Tamjan</w:t>
      </w:r>
      <w:proofErr w:type="spellEnd"/>
      <w:r>
        <w:t xml:space="preserve"> (frankincense) due to the intense scent from ripe grapes.  </w:t>
      </w:r>
      <w:proofErr w:type="spellStart"/>
      <w:r>
        <w:t>Tamjanika</w:t>
      </w:r>
      <w:proofErr w:type="spellEnd"/>
      <w:r>
        <w:t xml:space="preserve"> is used to produce white wines of intense fruit aroma and taste.  It has characteristic Muscat notes of cinnamon, elder plant, basil, pineapple, and strawberry.  The Yellow Flower is the landmark of the city of </w:t>
      </w:r>
      <w:proofErr w:type="spellStart"/>
      <w:r>
        <w:t>Vranje</w:t>
      </w:r>
      <w:proofErr w:type="spellEnd"/>
      <w:r>
        <w:t xml:space="preserve"> in the very south </w:t>
      </w:r>
      <w:proofErr w:type="gramStart"/>
      <w:r>
        <w:t>of  Serbia</w:t>
      </w:r>
      <w:proofErr w:type="gramEnd"/>
      <w:r>
        <w:t>.</w:t>
      </w:r>
    </w:p>
    <w:p w14:paraId="120AF3F6" w14:textId="77777777" w:rsidR="003D1EC5" w:rsidRDefault="00000000">
      <w:pPr>
        <w:shd w:val="clear" w:color="auto" w:fill="FFFFFF"/>
        <w:spacing w:before="240" w:after="240" w:line="240" w:lineRule="auto"/>
        <w:rPr>
          <w:highlight w:val="white"/>
        </w:rPr>
      </w:pPr>
      <w:r>
        <w:t>The red wine is their Red Blend “</w:t>
      </w:r>
      <w:proofErr w:type="spellStart"/>
      <w:r>
        <w:t>Nostalgija</w:t>
      </w:r>
      <w:proofErr w:type="spellEnd"/>
      <w:r>
        <w:t>”</w:t>
      </w:r>
      <w:r>
        <w:rPr>
          <w:sz w:val="23"/>
          <w:szCs w:val="23"/>
        </w:rPr>
        <w:t xml:space="preserve"> and the red wine for your club selection.  The wine has a brilliant ruby ​​red color with a purple hue.  It’s rich on the nose with complexity expressed through a mixture of sweet black fruit and spices.  It is soft and creamy with a medium-full body, good balance, and silky tannins.</w:t>
      </w:r>
    </w:p>
    <w:p w14:paraId="493DEB8D" w14:textId="77777777" w:rsidR="003D1EC5" w:rsidRDefault="00000000">
      <w:pPr>
        <w:shd w:val="clear" w:color="auto" w:fill="FFFFFF"/>
        <w:spacing w:before="240" w:after="240" w:line="240" w:lineRule="auto"/>
        <w:rPr>
          <w:sz w:val="20"/>
          <w:szCs w:val="20"/>
        </w:rPr>
      </w:pPr>
      <w:r>
        <w:t xml:space="preserve">If you're a part of our red wine club, you’ll be receiving the </w:t>
      </w:r>
      <w:proofErr w:type="spellStart"/>
      <w:r>
        <w:t>Santome</w:t>
      </w:r>
      <w:proofErr w:type="spellEnd"/>
      <w:r>
        <w:t xml:space="preserve"> Cabernet Sauvignon as your second red wine selection.</w:t>
      </w:r>
    </w:p>
    <w:p w14:paraId="67824920" w14:textId="4A548DB9" w:rsidR="003D1EC5" w:rsidRDefault="005D7B52">
      <w:pPr>
        <w:shd w:val="clear" w:color="auto" w:fill="FFFFFF"/>
        <w:spacing w:line="240" w:lineRule="auto"/>
        <w:rPr>
          <w:b/>
          <w:sz w:val="20"/>
          <w:szCs w:val="20"/>
        </w:rPr>
      </w:pPr>
      <w:proofErr w:type="spellStart"/>
      <w:r w:rsidRPr="005D7B52">
        <w:rPr>
          <w:b/>
          <w:color w:val="222222"/>
        </w:rPr>
        <w:t>Aleksić</w:t>
      </w:r>
      <w:proofErr w:type="spellEnd"/>
      <w:r w:rsidRPr="005D7B52">
        <w:rPr>
          <w:b/>
          <w:color w:val="222222"/>
        </w:rPr>
        <w:t xml:space="preserve"> </w:t>
      </w:r>
      <w:proofErr w:type="spellStart"/>
      <w:r w:rsidR="00000000">
        <w:rPr>
          <w:b/>
          <w:color w:val="222222"/>
          <w:highlight w:val="white"/>
        </w:rPr>
        <w:t>Zuti</w:t>
      </w:r>
      <w:proofErr w:type="spellEnd"/>
      <w:r w:rsidR="00000000">
        <w:rPr>
          <w:b/>
          <w:color w:val="222222"/>
          <w:highlight w:val="white"/>
        </w:rPr>
        <w:t xml:space="preserve"> </w:t>
      </w:r>
      <w:proofErr w:type="spellStart"/>
      <w:r w:rsidR="00000000">
        <w:rPr>
          <w:b/>
          <w:color w:val="222222"/>
          <w:highlight w:val="white"/>
        </w:rPr>
        <w:t>Cvet</w:t>
      </w:r>
      <w:proofErr w:type="spellEnd"/>
      <w:r w:rsidR="00000000">
        <w:rPr>
          <w:b/>
          <w:color w:val="222222"/>
          <w:highlight w:val="white"/>
        </w:rPr>
        <w:t xml:space="preserve"> “Yellow Flower”, Serbia 2021</w:t>
      </w:r>
    </w:p>
    <w:p w14:paraId="0C3C46B7" w14:textId="77777777" w:rsidR="003D1EC5" w:rsidRDefault="00000000">
      <w:pPr>
        <w:shd w:val="clear" w:color="auto" w:fill="FFFFFF"/>
        <w:spacing w:line="240" w:lineRule="auto"/>
        <w:rPr>
          <w:sz w:val="20"/>
          <w:szCs w:val="20"/>
        </w:rPr>
      </w:pPr>
      <w:r>
        <w:rPr>
          <w:b/>
          <w:sz w:val="20"/>
          <w:szCs w:val="20"/>
        </w:rPr>
        <w:t>Varietal Composition:</w:t>
      </w:r>
      <w:r>
        <w:rPr>
          <w:sz w:val="20"/>
          <w:szCs w:val="20"/>
        </w:rPr>
        <w:t xml:space="preserve"> </w:t>
      </w:r>
      <w:r>
        <w:rPr>
          <w:sz w:val="20"/>
          <w:szCs w:val="20"/>
        </w:rPr>
        <w:tab/>
      </w:r>
      <w:r>
        <w:rPr>
          <w:sz w:val="20"/>
          <w:szCs w:val="20"/>
        </w:rPr>
        <w:tab/>
      </w:r>
      <w:proofErr w:type="spellStart"/>
      <w:r>
        <w:rPr>
          <w:sz w:val="20"/>
          <w:szCs w:val="20"/>
        </w:rPr>
        <w:t>Tamjanika</w:t>
      </w:r>
      <w:proofErr w:type="spellEnd"/>
    </w:p>
    <w:p w14:paraId="7F719825" w14:textId="77777777" w:rsidR="003D1EC5" w:rsidRDefault="00000000">
      <w:pPr>
        <w:spacing w:line="240" w:lineRule="auto"/>
        <w:rPr>
          <w:sz w:val="20"/>
          <w:szCs w:val="20"/>
        </w:rPr>
      </w:pPr>
      <w:r>
        <w:rPr>
          <w:b/>
          <w:sz w:val="20"/>
          <w:szCs w:val="20"/>
        </w:rPr>
        <w:t>Vineyard Location:</w:t>
      </w:r>
      <w:r>
        <w:rPr>
          <w:b/>
          <w:sz w:val="20"/>
          <w:szCs w:val="20"/>
        </w:rPr>
        <w:tab/>
      </w:r>
      <w:r>
        <w:rPr>
          <w:sz w:val="20"/>
          <w:szCs w:val="20"/>
        </w:rPr>
        <w:tab/>
        <w:t xml:space="preserve">South Servia, </w:t>
      </w:r>
      <w:proofErr w:type="spellStart"/>
      <w:r>
        <w:rPr>
          <w:sz w:val="20"/>
          <w:szCs w:val="20"/>
        </w:rPr>
        <w:t>Vranje</w:t>
      </w:r>
      <w:proofErr w:type="spellEnd"/>
    </w:p>
    <w:p w14:paraId="43E6B016" w14:textId="77777777" w:rsidR="003D1EC5" w:rsidRDefault="00000000">
      <w:pPr>
        <w:rPr>
          <w:sz w:val="20"/>
          <w:szCs w:val="20"/>
        </w:rPr>
      </w:pPr>
      <w:r>
        <w:rPr>
          <w:b/>
          <w:sz w:val="20"/>
          <w:szCs w:val="20"/>
        </w:rPr>
        <w:t>Aging:</w:t>
      </w:r>
      <w:r>
        <w:rPr>
          <w:sz w:val="20"/>
          <w:szCs w:val="20"/>
        </w:rPr>
        <w:t xml:space="preserve"> </w:t>
      </w:r>
      <w:r>
        <w:rPr>
          <w:sz w:val="20"/>
          <w:szCs w:val="20"/>
        </w:rPr>
        <w:tab/>
      </w:r>
      <w:r>
        <w:rPr>
          <w:sz w:val="20"/>
          <w:szCs w:val="20"/>
        </w:rPr>
        <w:tab/>
      </w:r>
      <w:r>
        <w:rPr>
          <w:sz w:val="20"/>
          <w:szCs w:val="20"/>
        </w:rPr>
        <w:tab/>
      </w:r>
      <w:r>
        <w:rPr>
          <w:sz w:val="20"/>
          <w:szCs w:val="20"/>
        </w:rPr>
        <w:tab/>
        <w:t>Stainless Steel</w:t>
      </w:r>
    </w:p>
    <w:p w14:paraId="03FE2485" w14:textId="77777777" w:rsidR="003D1EC5" w:rsidRDefault="00000000">
      <w:pPr>
        <w:spacing w:line="240"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12.5%</w:t>
      </w:r>
      <w:r>
        <w:rPr>
          <w:sz w:val="20"/>
          <w:szCs w:val="20"/>
        </w:rPr>
        <w:tab/>
      </w:r>
      <w:r>
        <w:rPr>
          <w:sz w:val="20"/>
          <w:szCs w:val="20"/>
        </w:rPr>
        <w:tab/>
      </w:r>
    </w:p>
    <w:p w14:paraId="749448B2" w14:textId="77777777" w:rsidR="00D7334F" w:rsidRDefault="00000000">
      <w:pPr>
        <w:spacing w:line="240" w:lineRule="auto"/>
        <w:rPr>
          <w:color w:val="404040"/>
          <w:sz w:val="20"/>
          <w:szCs w:val="20"/>
          <w:highlight w:val="white"/>
        </w:rPr>
      </w:pPr>
      <w:r>
        <w:rPr>
          <w:b/>
          <w:sz w:val="20"/>
          <w:szCs w:val="20"/>
        </w:rPr>
        <w:t>Tasting Notes:</w:t>
      </w:r>
      <w:r>
        <w:rPr>
          <w:b/>
          <w:sz w:val="20"/>
          <w:szCs w:val="20"/>
        </w:rPr>
        <w:tab/>
      </w:r>
      <w:r w:rsidR="00D7334F">
        <w:rPr>
          <w:b/>
          <w:sz w:val="20"/>
          <w:szCs w:val="20"/>
        </w:rPr>
        <w:tab/>
      </w:r>
      <w:r w:rsidR="00D7334F">
        <w:rPr>
          <w:b/>
          <w:sz w:val="20"/>
          <w:szCs w:val="20"/>
        </w:rPr>
        <w:tab/>
      </w:r>
      <w:r>
        <w:rPr>
          <w:color w:val="404040"/>
          <w:sz w:val="20"/>
          <w:szCs w:val="20"/>
          <w:highlight w:val="white"/>
        </w:rPr>
        <w:t>A complex nose with aromas of pear, peach, &amp; ripe citrus with a hint of</w:t>
      </w:r>
    </w:p>
    <w:p w14:paraId="47CBC4B4" w14:textId="77B5C4C1" w:rsidR="003D1EC5" w:rsidRDefault="00000000" w:rsidP="00D7334F">
      <w:pPr>
        <w:spacing w:line="240" w:lineRule="auto"/>
        <w:ind w:left="2160" w:firstLine="720"/>
        <w:rPr>
          <w:sz w:val="20"/>
          <w:szCs w:val="20"/>
        </w:rPr>
      </w:pPr>
      <w:r>
        <w:rPr>
          <w:color w:val="404040"/>
          <w:sz w:val="20"/>
          <w:szCs w:val="20"/>
          <w:highlight w:val="white"/>
        </w:rPr>
        <w:t>honey leading to fruit &amp; spice on the palate.</w:t>
      </w:r>
    </w:p>
    <w:p w14:paraId="6F4604AE" w14:textId="77777777" w:rsidR="003D1EC5" w:rsidRDefault="00000000">
      <w:pPr>
        <w:spacing w:line="240" w:lineRule="auto"/>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t>Pair with our Apple Pecan &amp; Pear Salad.</w:t>
      </w:r>
    </w:p>
    <w:p w14:paraId="6C2E7880" w14:textId="77777777" w:rsidR="003D1EC5" w:rsidRDefault="00000000">
      <w:pPr>
        <w:shd w:val="clear" w:color="auto" w:fill="FFFFFF"/>
        <w:spacing w:line="240" w:lineRule="auto"/>
        <w:rPr>
          <w:sz w:val="20"/>
          <w:szCs w:val="20"/>
        </w:rPr>
      </w:pPr>
      <w:r>
        <w:rPr>
          <w:b/>
          <w:sz w:val="20"/>
          <w:szCs w:val="20"/>
        </w:rPr>
        <w:t>Cheese Pairing:</w:t>
      </w:r>
      <w:r>
        <w:rPr>
          <w:sz w:val="20"/>
          <w:szCs w:val="20"/>
        </w:rPr>
        <w:t xml:space="preserve"> </w:t>
      </w:r>
      <w:r>
        <w:rPr>
          <w:sz w:val="20"/>
          <w:szCs w:val="20"/>
        </w:rPr>
        <w:tab/>
      </w:r>
      <w:r>
        <w:rPr>
          <w:sz w:val="20"/>
          <w:szCs w:val="20"/>
        </w:rPr>
        <w:tab/>
        <w:t>Pair with our Prairie Breeze cheese.</w:t>
      </w:r>
    </w:p>
    <w:p w14:paraId="4DD1B8EA" w14:textId="77777777" w:rsidR="003D1EC5" w:rsidRDefault="003D1EC5">
      <w:pPr>
        <w:shd w:val="clear" w:color="auto" w:fill="FFFFFF"/>
        <w:spacing w:line="240" w:lineRule="auto"/>
        <w:rPr>
          <w:sz w:val="20"/>
          <w:szCs w:val="20"/>
        </w:rPr>
      </w:pPr>
    </w:p>
    <w:p w14:paraId="01AFD0F0" w14:textId="4DD79444" w:rsidR="003D1EC5" w:rsidRDefault="005D7B52">
      <w:pPr>
        <w:shd w:val="clear" w:color="auto" w:fill="FFFFFF"/>
        <w:spacing w:line="240" w:lineRule="auto"/>
        <w:rPr>
          <w:b/>
          <w:sz w:val="20"/>
          <w:szCs w:val="20"/>
        </w:rPr>
      </w:pPr>
      <w:proofErr w:type="spellStart"/>
      <w:r w:rsidRPr="005D7B52">
        <w:rPr>
          <w:b/>
          <w:color w:val="222222"/>
        </w:rPr>
        <w:t>Aleksić</w:t>
      </w:r>
      <w:proofErr w:type="spellEnd"/>
      <w:r w:rsidRPr="005D7B52">
        <w:rPr>
          <w:b/>
          <w:color w:val="222222"/>
        </w:rPr>
        <w:t xml:space="preserve"> </w:t>
      </w:r>
      <w:r w:rsidR="00000000">
        <w:rPr>
          <w:b/>
          <w:color w:val="222222"/>
          <w:highlight w:val="white"/>
        </w:rPr>
        <w:t>Red Blend “</w:t>
      </w:r>
      <w:proofErr w:type="spellStart"/>
      <w:r w:rsidR="00000000">
        <w:rPr>
          <w:b/>
          <w:color w:val="222222"/>
          <w:highlight w:val="white"/>
        </w:rPr>
        <w:t>Nostalgija</w:t>
      </w:r>
      <w:proofErr w:type="spellEnd"/>
      <w:r w:rsidR="00000000">
        <w:rPr>
          <w:b/>
          <w:color w:val="222222"/>
          <w:highlight w:val="white"/>
        </w:rPr>
        <w:t>”, Serbia 2018</w:t>
      </w:r>
    </w:p>
    <w:p w14:paraId="50EF3831" w14:textId="77777777" w:rsidR="003D1EC5" w:rsidRDefault="00000000">
      <w:pPr>
        <w:shd w:val="clear" w:color="auto" w:fill="FFFFFF"/>
        <w:spacing w:line="240" w:lineRule="auto"/>
        <w:rPr>
          <w:sz w:val="20"/>
          <w:szCs w:val="20"/>
        </w:rPr>
      </w:pPr>
      <w:r>
        <w:rPr>
          <w:b/>
          <w:sz w:val="20"/>
          <w:szCs w:val="20"/>
        </w:rPr>
        <w:t>Varietal Composition:</w:t>
      </w:r>
      <w:r>
        <w:rPr>
          <w:sz w:val="20"/>
          <w:szCs w:val="20"/>
        </w:rPr>
        <w:t xml:space="preserve"> </w:t>
      </w:r>
      <w:r>
        <w:rPr>
          <w:sz w:val="20"/>
          <w:szCs w:val="20"/>
        </w:rPr>
        <w:tab/>
      </w:r>
      <w:r>
        <w:rPr>
          <w:sz w:val="20"/>
          <w:szCs w:val="20"/>
        </w:rPr>
        <w:tab/>
        <w:t xml:space="preserve">50% </w:t>
      </w:r>
      <w:proofErr w:type="spellStart"/>
      <w:r>
        <w:rPr>
          <w:sz w:val="20"/>
          <w:szCs w:val="20"/>
        </w:rPr>
        <w:t>Vranac</w:t>
      </w:r>
      <w:proofErr w:type="spellEnd"/>
      <w:r>
        <w:rPr>
          <w:sz w:val="20"/>
          <w:szCs w:val="20"/>
        </w:rPr>
        <w:t>, 25% Cabernet Sauvignon, 25% Pinot Noir</w:t>
      </w:r>
    </w:p>
    <w:p w14:paraId="044B81B4" w14:textId="77777777" w:rsidR="003D1EC5" w:rsidRDefault="00000000">
      <w:pPr>
        <w:spacing w:line="240" w:lineRule="auto"/>
        <w:rPr>
          <w:sz w:val="20"/>
          <w:szCs w:val="20"/>
        </w:rPr>
      </w:pPr>
      <w:r>
        <w:rPr>
          <w:b/>
          <w:sz w:val="20"/>
          <w:szCs w:val="20"/>
        </w:rPr>
        <w:t>Vineyard Location:</w:t>
      </w:r>
      <w:r>
        <w:rPr>
          <w:b/>
          <w:sz w:val="20"/>
          <w:szCs w:val="20"/>
        </w:rPr>
        <w:tab/>
      </w:r>
      <w:r>
        <w:rPr>
          <w:sz w:val="20"/>
          <w:szCs w:val="20"/>
        </w:rPr>
        <w:tab/>
        <w:t xml:space="preserve">South Servia, </w:t>
      </w:r>
      <w:proofErr w:type="spellStart"/>
      <w:r>
        <w:rPr>
          <w:sz w:val="20"/>
          <w:szCs w:val="20"/>
        </w:rPr>
        <w:t>Vranje</w:t>
      </w:r>
      <w:proofErr w:type="spellEnd"/>
    </w:p>
    <w:p w14:paraId="5FBB8EF6" w14:textId="77777777" w:rsidR="003D1EC5" w:rsidRDefault="00000000">
      <w:pPr>
        <w:rPr>
          <w:sz w:val="20"/>
          <w:szCs w:val="20"/>
        </w:rPr>
      </w:pPr>
      <w:r>
        <w:rPr>
          <w:b/>
          <w:sz w:val="20"/>
          <w:szCs w:val="20"/>
        </w:rPr>
        <w:t>Aging:</w:t>
      </w:r>
      <w:r>
        <w:rPr>
          <w:sz w:val="20"/>
          <w:szCs w:val="20"/>
        </w:rPr>
        <w:t xml:space="preserve"> </w:t>
      </w:r>
      <w:r>
        <w:rPr>
          <w:sz w:val="20"/>
          <w:szCs w:val="20"/>
        </w:rPr>
        <w:tab/>
      </w:r>
      <w:r>
        <w:rPr>
          <w:sz w:val="20"/>
          <w:szCs w:val="20"/>
        </w:rPr>
        <w:tab/>
      </w:r>
      <w:r>
        <w:rPr>
          <w:sz w:val="20"/>
          <w:szCs w:val="20"/>
        </w:rPr>
        <w:tab/>
      </w:r>
      <w:r>
        <w:rPr>
          <w:sz w:val="20"/>
          <w:szCs w:val="20"/>
        </w:rPr>
        <w:tab/>
        <w:t>Barrique Barrels</w:t>
      </w:r>
    </w:p>
    <w:p w14:paraId="39685287" w14:textId="77777777" w:rsidR="003D1EC5" w:rsidRDefault="00000000">
      <w:pPr>
        <w:spacing w:line="240" w:lineRule="auto"/>
        <w:rPr>
          <w:sz w:val="20"/>
          <w:szCs w:val="20"/>
        </w:rPr>
      </w:pPr>
      <w:r>
        <w:rPr>
          <w:b/>
          <w:sz w:val="20"/>
          <w:szCs w:val="20"/>
        </w:rPr>
        <w:t xml:space="preserve">Alcohol: </w:t>
      </w:r>
      <w:r>
        <w:rPr>
          <w:sz w:val="20"/>
          <w:szCs w:val="20"/>
        </w:rPr>
        <w:t xml:space="preserve"> </w:t>
      </w:r>
      <w:r>
        <w:rPr>
          <w:sz w:val="20"/>
          <w:szCs w:val="20"/>
        </w:rPr>
        <w:tab/>
      </w:r>
      <w:r>
        <w:rPr>
          <w:sz w:val="20"/>
          <w:szCs w:val="20"/>
        </w:rPr>
        <w:tab/>
      </w:r>
      <w:r>
        <w:rPr>
          <w:sz w:val="20"/>
          <w:szCs w:val="20"/>
        </w:rPr>
        <w:tab/>
        <w:t>13.5%</w:t>
      </w:r>
      <w:r>
        <w:rPr>
          <w:sz w:val="20"/>
          <w:szCs w:val="20"/>
        </w:rPr>
        <w:tab/>
      </w:r>
      <w:r>
        <w:rPr>
          <w:sz w:val="20"/>
          <w:szCs w:val="20"/>
        </w:rPr>
        <w:tab/>
      </w:r>
    </w:p>
    <w:p w14:paraId="7232D2BE" w14:textId="77777777" w:rsidR="003D1EC5" w:rsidRDefault="00000000">
      <w:pPr>
        <w:spacing w:line="240" w:lineRule="auto"/>
        <w:rPr>
          <w:sz w:val="20"/>
          <w:szCs w:val="20"/>
        </w:rPr>
      </w:pPr>
      <w:r>
        <w:rPr>
          <w:b/>
          <w:sz w:val="20"/>
          <w:szCs w:val="20"/>
        </w:rPr>
        <w:t>Tasting Notes:</w:t>
      </w:r>
      <w:r>
        <w:rPr>
          <w:b/>
          <w:sz w:val="20"/>
          <w:szCs w:val="20"/>
        </w:rPr>
        <w:tab/>
      </w:r>
      <w:r>
        <w:rPr>
          <w:b/>
          <w:sz w:val="20"/>
          <w:szCs w:val="20"/>
        </w:rPr>
        <w:tab/>
      </w:r>
      <w:r>
        <w:rPr>
          <w:b/>
          <w:sz w:val="20"/>
          <w:szCs w:val="20"/>
        </w:rPr>
        <w:tab/>
      </w:r>
      <w:r>
        <w:rPr>
          <w:color w:val="404040"/>
          <w:sz w:val="20"/>
          <w:szCs w:val="20"/>
          <w:highlight w:val="white"/>
        </w:rPr>
        <w:t>Medium to full bodied with red fruit flavors &amp; silky soft tannins.</w:t>
      </w:r>
    </w:p>
    <w:p w14:paraId="22CBAABA" w14:textId="77777777" w:rsidR="003D1EC5" w:rsidRDefault="00000000">
      <w:pPr>
        <w:spacing w:line="240" w:lineRule="auto"/>
        <w:rPr>
          <w:sz w:val="20"/>
          <w:szCs w:val="20"/>
        </w:rPr>
      </w:pPr>
      <w:r>
        <w:rPr>
          <w:b/>
          <w:sz w:val="20"/>
          <w:szCs w:val="20"/>
        </w:rPr>
        <w:t>Food Pairing:</w:t>
      </w:r>
      <w:r>
        <w:rPr>
          <w:sz w:val="20"/>
          <w:szCs w:val="20"/>
        </w:rPr>
        <w:t xml:space="preserve"> </w:t>
      </w:r>
      <w:r>
        <w:rPr>
          <w:sz w:val="20"/>
          <w:szCs w:val="20"/>
        </w:rPr>
        <w:tab/>
      </w:r>
      <w:r>
        <w:rPr>
          <w:sz w:val="20"/>
          <w:szCs w:val="20"/>
        </w:rPr>
        <w:tab/>
      </w:r>
      <w:r>
        <w:rPr>
          <w:sz w:val="20"/>
          <w:szCs w:val="20"/>
        </w:rPr>
        <w:tab/>
        <w:t>Pair with our Red Wine Meatballs</w:t>
      </w:r>
    </w:p>
    <w:p w14:paraId="7A616407" w14:textId="134A1621" w:rsidR="003D1EC5" w:rsidRDefault="00000000">
      <w:pPr>
        <w:shd w:val="clear" w:color="auto" w:fill="FFFFFF"/>
        <w:spacing w:line="240" w:lineRule="auto"/>
        <w:rPr>
          <w:sz w:val="20"/>
          <w:szCs w:val="20"/>
        </w:rPr>
      </w:pPr>
      <w:r>
        <w:rPr>
          <w:b/>
          <w:sz w:val="20"/>
          <w:szCs w:val="20"/>
        </w:rPr>
        <w:t>Cheese Pairing:</w:t>
      </w:r>
      <w:r>
        <w:rPr>
          <w:sz w:val="20"/>
          <w:szCs w:val="20"/>
        </w:rPr>
        <w:t xml:space="preserve"> </w:t>
      </w:r>
      <w:r>
        <w:rPr>
          <w:sz w:val="20"/>
          <w:szCs w:val="20"/>
        </w:rPr>
        <w:tab/>
      </w:r>
      <w:r>
        <w:rPr>
          <w:sz w:val="20"/>
          <w:szCs w:val="20"/>
        </w:rPr>
        <w:tab/>
        <w:t xml:space="preserve">Pair with our </w:t>
      </w:r>
      <w:proofErr w:type="gramStart"/>
      <w:r>
        <w:rPr>
          <w:sz w:val="20"/>
          <w:szCs w:val="20"/>
        </w:rPr>
        <w:t>4 year</w:t>
      </w:r>
      <w:proofErr w:type="gramEnd"/>
      <w:r>
        <w:rPr>
          <w:sz w:val="20"/>
          <w:szCs w:val="20"/>
        </w:rPr>
        <w:t xml:space="preserve"> Cheddar cheese.</w:t>
      </w:r>
    </w:p>
    <w:p w14:paraId="0547652C" w14:textId="77777777" w:rsidR="003D1EC5" w:rsidRDefault="003D1EC5">
      <w:pPr>
        <w:rPr>
          <w:sz w:val="20"/>
          <w:szCs w:val="20"/>
        </w:rPr>
      </w:pPr>
    </w:p>
    <w:p w14:paraId="1F00E995" w14:textId="77777777" w:rsidR="003D1EC5" w:rsidRDefault="00000000">
      <w:pPr>
        <w:jc w:val="center"/>
      </w:pPr>
      <w:r>
        <w:t xml:space="preserve"> </w:t>
      </w:r>
    </w:p>
    <w:p w14:paraId="010DAD22" w14:textId="77777777" w:rsidR="003D1EC5" w:rsidRDefault="00000000">
      <w:pPr>
        <w:jc w:val="center"/>
        <w:rPr>
          <w:rFonts w:ascii="Comic Sans MS" w:eastAsia="Comic Sans MS" w:hAnsi="Comic Sans MS" w:cs="Comic Sans MS"/>
          <w:b/>
        </w:rPr>
      </w:pPr>
      <w:r>
        <w:t xml:space="preserve"> </w:t>
      </w:r>
      <w:r>
        <w:rPr>
          <w:rFonts w:ascii="Comic Sans MS" w:eastAsia="Comic Sans MS" w:hAnsi="Comic Sans MS" w:cs="Comic Sans MS"/>
          <w:b/>
        </w:rPr>
        <w:t>The Gang at Wine &amp; Cheese</w:t>
      </w:r>
    </w:p>
    <w:p w14:paraId="04B7A714" w14:textId="77777777" w:rsidR="003D1EC5" w:rsidRDefault="00000000">
      <w:pPr>
        <w:spacing w:after="160" w:line="259" w:lineRule="auto"/>
        <w:jc w:val="center"/>
      </w:pPr>
      <w:r>
        <w:rPr>
          <w:rFonts w:ascii="Comic Sans MS" w:eastAsia="Comic Sans MS" w:hAnsi="Comic Sans MS" w:cs="Comic Sans MS"/>
          <w:noProof/>
        </w:rPr>
        <w:drawing>
          <wp:inline distT="0" distB="0" distL="114300" distR="114300" wp14:anchorId="2921EF8C" wp14:editId="15EF87FD">
            <wp:extent cx="2211388" cy="2898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11388" cy="289882"/>
                    </a:xfrm>
                    <a:prstGeom prst="rect">
                      <a:avLst/>
                    </a:prstGeom>
                    <a:ln/>
                  </pic:spPr>
                </pic:pic>
              </a:graphicData>
            </a:graphic>
          </wp:inline>
        </w:drawing>
      </w:r>
    </w:p>
    <w:p w14:paraId="149166D0" w14:textId="77777777" w:rsidR="003D1EC5" w:rsidRDefault="00000000">
      <w:pPr>
        <w:tabs>
          <w:tab w:val="center" w:pos="4320"/>
          <w:tab w:val="right" w:pos="8640"/>
        </w:tabs>
        <w:spacing w:line="240" w:lineRule="auto"/>
        <w:jc w:val="center"/>
      </w:pPr>
      <w:r>
        <w:rPr>
          <w:rFonts w:ascii="BatangChe" w:eastAsia="BatangChe" w:hAnsi="BatangChe" w:cs="BatangChe"/>
          <w:sz w:val="18"/>
          <w:szCs w:val="18"/>
        </w:rPr>
        <w:t xml:space="preserve">24104 W. Lockport Street Plainfield, IL </w:t>
      </w:r>
      <w:proofErr w:type="gramStart"/>
      <w:r>
        <w:rPr>
          <w:rFonts w:ascii="BatangChe" w:eastAsia="BatangChe" w:hAnsi="BatangChe" w:cs="BatangChe"/>
          <w:sz w:val="18"/>
          <w:szCs w:val="18"/>
        </w:rPr>
        <w:t>60544  (</w:t>
      </w:r>
      <w:proofErr w:type="gramEnd"/>
      <w:r>
        <w:rPr>
          <w:rFonts w:ascii="BatangChe" w:eastAsia="BatangChe" w:hAnsi="BatangChe" w:cs="BatangChe"/>
          <w:sz w:val="18"/>
          <w:szCs w:val="18"/>
        </w:rPr>
        <w:t xml:space="preserve">815) 436-3499   </w:t>
      </w:r>
      <w:hyperlink r:id="rId6">
        <w:r>
          <w:rPr>
            <w:rFonts w:ascii="BatangChe" w:eastAsia="BatangChe" w:hAnsi="BatangChe" w:cs="BatangChe"/>
            <w:color w:val="0000FF"/>
            <w:sz w:val="18"/>
            <w:szCs w:val="18"/>
            <w:u w:val="single"/>
          </w:rPr>
          <w:t>www.wineandcheeseco.com</w:t>
        </w:r>
      </w:hyperlink>
    </w:p>
    <w:sectPr w:rsidR="003D1EC5">
      <w:pgSz w:w="12240" w:h="15840"/>
      <w:pgMar w:top="900" w:right="1440" w:bottom="445"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C5"/>
    <w:rsid w:val="003D1EC5"/>
    <w:rsid w:val="005D7B52"/>
    <w:rsid w:val="00D7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8529"/>
  <w15:docId w15:val="{9B9884C0-41B2-4FB6-A2EE-7E22AB5D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ineandcheese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M/SFQmpD/uyFJ400Nfy+a7e5A==">AMUW2mVaaeVGKyTauxGZWnz6WszItHZbyDnYpRRAQjRndCubu6MLXm5RnTQ0h8SjrSaT/6KY9OsCFL7nIPeOhXqHpKp3ryNwz0q2ATEb+vJU0hSheWy92j8=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Kacie</cp:lastModifiedBy>
  <cp:revision>3</cp:revision>
  <dcterms:created xsi:type="dcterms:W3CDTF">2023-02-27T17:09:00Z</dcterms:created>
  <dcterms:modified xsi:type="dcterms:W3CDTF">2023-02-27T17:11:00Z</dcterms:modified>
</cp:coreProperties>
</file>